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F7A27" w:rsidRDefault="007F7A27" w:rsidP="007F7A27">
      <w:pPr>
        <w:pStyle w:val="ListParagraph"/>
        <w:spacing w:line="264" w:lineRule="auto"/>
        <w:ind w:left="360"/>
        <w:contextualSpacing/>
        <w:rPr>
          <w:rFonts w:ascii="Rockwell" w:hAnsi="Rockwell"/>
        </w:rPr>
      </w:pPr>
    </w:p>
    <w:p w:rsidR="007F7A27" w:rsidRDefault="007F7A27" w:rsidP="007F7A27">
      <w:pPr>
        <w:pStyle w:val="ListParagraph"/>
        <w:spacing w:line="264" w:lineRule="auto"/>
        <w:ind w:left="360"/>
        <w:contextualSpacing/>
        <w:rPr>
          <w:rFonts w:ascii="Rockwell" w:hAnsi="Rockwell"/>
        </w:rPr>
      </w:pPr>
    </w:p>
    <w:p w:rsidR="007F7A27" w:rsidRPr="007F7A27" w:rsidRDefault="007F7A27" w:rsidP="007F7A27">
      <w:pPr>
        <w:pStyle w:val="ListParagraph"/>
        <w:spacing w:line="264" w:lineRule="auto"/>
        <w:ind w:left="360"/>
        <w:contextualSpacing/>
        <w:rPr>
          <w:rFonts w:ascii="Rockwell" w:hAnsi="Rockwell"/>
        </w:rPr>
      </w:pPr>
      <w:r w:rsidRPr="007F7A27">
        <w:rPr>
          <w:rFonts w:ascii="Rockwell" w:hAnsi="Rockwell"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left:0;text-align:left;margin-left:5in;margin-top:18pt;width:234pt;height:34.35pt;z-index:-251657216;visibility:visible;mso-wrap-edited:f;mso-wrap-distance-left:2.88pt;mso-wrap-distance-top:2.88pt;mso-wrap-distance-right:2.88pt;mso-wrap-distance-bottom:2.88pt;mso-position-horizontal:absolute;mso-position-horizontal-relative:page;mso-position-vertical:absolute;mso-position-vertical-relative:page" wrapcoords="0 0 21600 0 21600 21600 0 21600 0 0" filled="f" stroked="f" strokeweight="0">
            <v:shadow color="#ccc"/>
            <o:lock v:ext="edit" shapetype="t"/>
            <v:textbox style="mso-next-textbox:#_x0000_s1028" inset="2.85pt,2.85pt,2.85pt,2.85pt">
              <w:txbxContent>
                <w:p w:rsidR="007F7A27" w:rsidRPr="007F7A27" w:rsidRDefault="007F7A27" w:rsidP="007F7A27">
                  <w:pPr>
                    <w:pStyle w:val="NewsletterIssue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Wednesday</w:t>
                  </w:r>
                  <w:r w:rsidRPr="007F7A27">
                    <w:rPr>
                      <w:b/>
                      <w:sz w:val="32"/>
                    </w:rPr>
                    <w:t>, January 19, 2011</w:t>
                  </w:r>
                </w:p>
              </w:txbxContent>
            </v:textbox>
            <w10:wrap anchorx="page" anchory="page"/>
          </v:shape>
        </w:pict>
      </w:r>
      <w:r w:rsidRPr="007F7A27">
        <w:rPr>
          <w:rFonts w:ascii="Rockwell" w:hAnsi="Rockwell"/>
          <w:noProof/>
        </w:rPr>
        <w:pict>
          <v:shape id="_x0000_s1026" type="#_x0000_t202" style="position:absolute;left:0;text-align:left;margin-left:18pt;margin-top:18pt;width:323.4pt;height:54.25pt;z-index:-251658240;visibility:visible;mso-wrap-edited:f;mso-wrap-distance-left:2.88pt;mso-wrap-distance-top:2.88pt;mso-wrap-distance-right:2.88pt;mso-wrap-distance-bottom:2.88pt;mso-position-horizontal:absolute;mso-position-horizontal-relative:page;mso-position-vertical:absolute;mso-position-vertical-relative:page" wrapcoords="0 0 21600 0 21600 21600 0 21600 0 0" filled="f" stroked="f" strokeweight="0">
            <v:shadow color="#ccc"/>
            <o:lock v:ext="edit" shapetype="t"/>
            <v:textbox style="mso-next-textbox:#_x0000_s1026;mso-fit-shape-to-text:t" inset="2.85pt,2.85pt,2.85pt,2.85pt">
              <w:txbxContent>
                <w:p w:rsidR="007F7A27" w:rsidRPr="00B163E6" w:rsidRDefault="007F7A27" w:rsidP="007F7A27">
                  <w:pPr>
                    <w:pStyle w:val="Masthead"/>
                  </w:pPr>
                  <w:r>
                    <w:t>Your Tasks Today:</w:t>
                  </w:r>
                </w:p>
              </w:txbxContent>
            </v:textbox>
            <w10:wrap anchorx="page" anchory="page"/>
          </v:shape>
        </w:pict>
      </w:r>
      <w:r w:rsidRPr="007F7A27">
        <w:rPr>
          <w:rFonts w:ascii="Rockwell" w:hAnsi="Rockwell"/>
        </w:rPr>
        <w:t>After posting your response to the discussion on the Wiki Home page, you are ready to play the “</w:t>
      </w:r>
      <w:r w:rsidRPr="007F7A27">
        <w:rPr>
          <w:rFonts w:ascii="Rockwell" w:hAnsi="Rockwell"/>
          <w:b/>
          <w:color w:val="FF00FF"/>
        </w:rPr>
        <w:t>Silicon Spies</w:t>
      </w:r>
      <w:r w:rsidRPr="007F7A27">
        <w:rPr>
          <w:rFonts w:ascii="Rockwell" w:hAnsi="Rockwell"/>
        </w:rPr>
        <w:t>” online game about electricity.</w:t>
      </w:r>
    </w:p>
    <w:p w:rsidR="007F7A27" w:rsidRPr="007F7A27" w:rsidRDefault="007F7A27" w:rsidP="007F7A27">
      <w:pPr>
        <w:pStyle w:val="ListParagraph"/>
        <w:spacing w:line="264" w:lineRule="auto"/>
        <w:ind w:left="360"/>
        <w:contextualSpacing/>
        <w:rPr>
          <w:rFonts w:ascii="Rockwell" w:hAnsi="Rockwell"/>
        </w:rPr>
      </w:pPr>
    </w:p>
    <w:p w:rsidR="007F7A27" w:rsidRPr="007F7A27" w:rsidRDefault="007F7A27" w:rsidP="007F7A27">
      <w:pPr>
        <w:pStyle w:val="ListParagraph"/>
        <w:numPr>
          <w:ilvl w:val="1"/>
          <w:numId w:val="1"/>
        </w:numPr>
        <w:spacing w:line="360" w:lineRule="auto"/>
        <w:contextualSpacing/>
        <w:rPr>
          <w:rFonts w:ascii="Rockwell" w:hAnsi="Rockwell"/>
        </w:rPr>
      </w:pPr>
      <w:r w:rsidRPr="007F7A27">
        <w:rPr>
          <w:rFonts w:ascii="Rockwell" w:hAnsi="Rockwell"/>
        </w:rPr>
        <w:t>Go to the “</w:t>
      </w:r>
      <w:r w:rsidRPr="007F7A27">
        <w:rPr>
          <w:rFonts w:ascii="Rockwell" w:hAnsi="Rockwell"/>
          <w:b/>
          <w:color w:val="FF00FF"/>
        </w:rPr>
        <w:t>Electricity and Magnetism</w:t>
      </w:r>
      <w:r w:rsidRPr="007F7A27">
        <w:rPr>
          <w:rFonts w:ascii="Rockwell" w:hAnsi="Rockwell"/>
        </w:rPr>
        <w:t>” page on the Wiki.</w:t>
      </w:r>
    </w:p>
    <w:p w:rsidR="007F7A27" w:rsidRPr="007F7A27" w:rsidRDefault="007F7A27" w:rsidP="007F7A27">
      <w:pPr>
        <w:spacing w:line="360" w:lineRule="auto"/>
        <w:ind w:left="1080"/>
        <w:contextualSpacing/>
        <w:rPr>
          <w:rFonts w:ascii="Rockwell" w:hAnsi="Rockwell"/>
        </w:rPr>
      </w:pPr>
    </w:p>
    <w:p w:rsidR="007F7A27" w:rsidRPr="007F7A27" w:rsidRDefault="007F7A27" w:rsidP="007F7A27">
      <w:pPr>
        <w:pStyle w:val="ListParagraph"/>
        <w:numPr>
          <w:ilvl w:val="1"/>
          <w:numId w:val="1"/>
        </w:numPr>
        <w:spacing w:line="360" w:lineRule="auto"/>
        <w:contextualSpacing/>
        <w:rPr>
          <w:rFonts w:ascii="Rockwell" w:hAnsi="Rockwell"/>
        </w:rPr>
      </w:pPr>
      <w:r w:rsidRPr="007F7A27">
        <w:rPr>
          <w:rFonts w:ascii="Rockwell" w:hAnsi="Rockwell"/>
        </w:rPr>
        <w:t>Select the “</w:t>
      </w:r>
      <w:r w:rsidRPr="007F7A27">
        <w:rPr>
          <w:rFonts w:ascii="Rockwell" w:hAnsi="Rockwell"/>
          <w:b/>
          <w:color w:val="FF00FF"/>
        </w:rPr>
        <w:t>Electric Circuits</w:t>
      </w:r>
      <w:r w:rsidRPr="007F7A27">
        <w:rPr>
          <w:rFonts w:ascii="Rockwell" w:hAnsi="Rockwell"/>
        </w:rPr>
        <w:t>” page link.</w:t>
      </w:r>
    </w:p>
    <w:p w:rsidR="007F7A27" w:rsidRPr="007F7A27" w:rsidRDefault="007F7A27" w:rsidP="007F7A27">
      <w:pPr>
        <w:spacing w:line="360" w:lineRule="auto"/>
        <w:ind w:left="1080"/>
        <w:contextualSpacing/>
        <w:rPr>
          <w:rFonts w:ascii="Rockwell" w:hAnsi="Rockwell"/>
        </w:rPr>
      </w:pPr>
    </w:p>
    <w:p w:rsidR="007F7A27" w:rsidRPr="007F7A27" w:rsidRDefault="007F7A27" w:rsidP="007F7A27">
      <w:pPr>
        <w:pStyle w:val="ListParagraph"/>
        <w:numPr>
          <w:ilvl w:val="1"/>
          <w:numId w:val="1"/>
        </w:numPr>
        <w:spacing w:line="360" w:lineRule="auto"/>
        <w:contextualSpacing/>
        <w:rPr>
          <w:rFonts w:ascii="Rockwell" w:hAnsi="Rockwell"/>
        </w:rPr>
      </w:pPr>
      <w:r w:rsidRPr="007F7A27">
        <w:rPr>
          <w:rFonts w:ascii="Rockwell" w:hAnsi="Rockwell"/>
        </w:rPr>
        <w:t>Select the “</w:t>
      </w:r>
      <w:r w:rsidRPr="007F7A27">
        <w:rPr>
          <w:rFonts w:ascii="Rockwell" w:hAnsi="Rockwell"/>
          <w:b/>
          <w:color w:val="FF00FF"/>
        </w:rPr>
        <w:t>Electricity Game</w:t>
      </w:r>
      <w:r w:rsidRPr="007F7A27">
        <w:rPr>
          <w:rFonts w:ascii="Rockwell" w:hAnsi="Rockwell"/>
        </w:rPr>
        <w:t>” link.</w:t>
      </w:r>
    </w:p>
    <w:p w:rsidR="007F7A27" w:rsidRPr="007F7A27" w:rsidRDefault="007F7A27" w:rsidP="007F7A27">
      <w:pPr>
        <w:spacing w:line="360" w:lineRule="auto"/>
        <w:ind w:left="1080"/>
        <w:contextualSpacing/>
        <w:rPr>
          <w:rFonts w:ascii="Rockwell" w:hAnsi="Rockwell"/>
        </w:rPr>
      </w:pPr>
    </w:p>
    <w:p w:rsidR="007F7A27" w:rsidRPr="007F7A27" w:rsidRDefault="007F7A27" w:rsidP="007F7A27">
      <w:pPr>
        <w:pStyle w:val="ListParagraph"/>
        <w:numPr>
          <w:ilvl w:val="1"/>
          <w:numId w:val="1"/>
        </w:numPr>
        <w:spacing w:line="360" w:lineRule="auto"/>
        <w:contextualSpacing/>
        <w:rPr>
          <w:rFonts w:ascii="Rockwell" w:hAnsi="Rockwell"/>
        </w:rPr>
      </w:pPr>
      <w:r w:rsidRPr="007F7A27">
        <w:rPr>
          <w:rFonts w:ascii="Rockwell" w:hAnsi="Rockwell"/>
        </w:rPr>
        <w:t xml:space="preserve">Click on the link that </w:t>
      </w:r>
      <w:proofErr w:type="gramStart"/>
      <w:r w:rsidRPr="007F7A27">
        <w:rPr>
          <w:rFonts w:ascii="Rockwell" w:hAnsi="Rockwell"/>
        </w:rPr>
        <w:t>says</w:t>
      </w:r>
      <w:proofErr w:type="gramEnd"/>
      <w:r w:rsidRPr="007F7A27">
        <w:rPr>
          <w:rFonts w:ascii="Rockwell" w:hAnsi="Rockwell"/>
        </w:rPr>
        <w:t xml:space="preserve"> “launch the game.”</w:t>
      </w:r>
    </w:p>
    <w:p w:rsidR="007F7A27" w:rsidRPr="007F7A27" w:rsidRDefault="007F7A27" w:rsidP="007F7A27">
      <w:pPr>
        <w:spacing w:line="360" w:lineRule="auto"/>
        <w:ind w:left="1080"/>
        <w:contextualSpacing/>
        <w:rPr>
          <w:rFonts w:ascii="Rockwell" w:hAnsi="Rockwell"/>
        </w:rPr>
      </w:pPr>
    </w:p>
    <w:p w:rsidR="007F7A27" w:rsidRPr="007F7A27" w:rsidRDefault="007F7A27" w:rsidP="007F7A27">
      <w:pPr>
        <w:pStyle w:val="ListParagraph"/>
        <w:numPr>
          <w:ilvl w:val="1"/>
          <w:numId w:val="1"/>
        </w:numPr>
        <w:spacing w:line="360" w:lineRule="auto"/>
        <w:contextualSpacing/>
        <w:rPr>
          <w:rFonts w:ascii="Rockwell" w:hAnsi="Rockwell"/>
        </w:rPr>
      </w:pPr>
      <w:r w:rsidRPr="007F7A27">
        <w:rPr>
          <w:rFonts w:ascii="Rockwell" w:hAnsi="Rockwell"/>
        </w:rPr>
        <w:t>Read and follow the instructions for playing the game.</w:t>
      </w:r>
    </w:p>
    <w:p w:rsidR="007F7A27" w:rsidRPr="007F7A27" w:rsidRDefault="007F7A27" w:rsidP="007F7A27">
      <w:pPr>
        <w:spacing w:line="360" w:lineRule="auto"/>
        <w:ind w:left="1080"/>
        <w:contextualSpacing/>
        <w:rPr>
          <w:rFonts w:ascii="Rockwell" w:hAnsi="Rockwell"/>
        </w:rPr>
      </w:pPr>
    </w:p>
    <w:p w:rsidR="007F7A27" w:rsidRPr="007F7A27" w:rsidRDefault="007F7A27" w:rsidP="007F7A27">
      <w:pPr>
        <w:pStyle w:val="ListParagraph"/>
        <w:numPr>
          <w:ilvl w:val="1"/>
          <w:numId w:val="1"/>
        </w:numPr>
        <w:spacing w:line="360" w:lineRule="auto"/>
        <w:contextualSpacing/>
        <w:rPr>
          <w:rFonts w:ascii="Rockwell" w:hAnsi="Rockwell"/>
        </w:rPr>
      </w:pPr>
      <w:r w:rsidRPr="007F7A27">
        <w:rPr>
          <w:rFonts w:ascii="Rockwell" w:hAnsi="Rockwell"/>
        </w:rPr>
        <w:t xml:space="preserve">When finished, </w:t>
      </w:r>
      <w:r w:rsidRPr="007F7A27">
        <w:rPr>
          <w:rFonts w:ascii="Rockwell" w:hAnsi="Rockwell"/>
          <w:u w:val="single"/>
        </w:rPr>
        <w:t>print the completion certificate and turn in to Mrs. D.</w:t>
      </w:r>
    </w:p>
    <w:p w:rsidR="007F7A27" w:rsidRPr="007F7A27" w:rsidRDefault="007F7A27" w:rsidP="007F7A27">
      <w:pPr>
        <w:spacing w:line="360" w:lineRule="auto"/>
        <w:ind w:left="1080"/>
        <w:contextualSpacing/>
        <w:rPr>
          <w:rFonts w:ascii="Rockwell" w:hAnsi="Rockwell"/>
        </w:rPr>
      </w:pPr>
    </w:p>
    <w:p w:rsidR="007F7A27" w:rsidRDefault="007F7A27" w:rsidP="007F7A27">
      <w:pPr>
        <w:pStyle w:val="ListParagraph"/>
        <w:numPr>
          <w:ilvl w:val="1"/>
          <w:numId w:val="1"/>
        </w:numPr>
        <w:spacing w:line="360" w:lineRule="auto"/>
        <w:contextualSpacing/>
        <w:rPr>
          <w:rFonts w:ascii="Rockwell" w:hAnsi="Rockwell"/>
        </w:rPr>
      </w:pPr>
      <w:r w:rsidRPr="007F7A27">
        <w:rPr>
          <w:rFonts w:ascii="Rockwell" w:hAnsi="Rockwell"/>
        </w:rPr>
        <w:t>Now, begin exploring the links on the “</w:t>
      </w:r>
      <w:r w:rsidRPr="007F7A27">
        <w:rPr>
          <w:rFonts w:ascii="Rockwell" w:hAnsi="Rockwell"/>
          <w:b/>
          <w:color w:val="FF00FF"/>
        </w:rPr>
        <w:t>Electric Circuits</w:t>
      </w:r>
      <w:r w:rsidRPr="007F7A27">
        <w:rPr>
          <w:rFonts w:ascii="Rockwell" w:hAnsi="Rockwell"/>
        </w:rPr>
        <w:t>” and “</w:t>
      </w:r>
      <w:r w:rsidRPr="007F7A27">
        <w:rPr>
          <w:rFonts w:ascii="Rockwell" w:hAnsi="Rockwell"/>
          <w:b/>
          <w:color w:val="FF00FF"/>
        </w:rPr>
        <w:t>Series and Parallel Circuits</w:t>
      </w:r>
      <w:r w:rsidRPr="007F7A27">
        <w:rPr>
          <w:rFonts w:ascii="Rockwell" w:hAnsi="Rockwell"/>
        </w:rPr>
        <w:t>” wiki pages.</w:t>
      </w:r>
    </w:p>
    <w:p w:rsidR="007F7A27" w:rsidRPr="007F7A27" w:rsidRDefault="007F7A27" w:rsidP="007F7A27">
      <w:pPr>
        <w:spacing w:line="360" w:lineRule="auto"/>
        <w:ind w:left="1080"/>
        <w:contextualSpacing/>
        <w:rPr>
          <w:rFonts w:ascii="Rockwell" w:hAnsi="Rockwell"/>
        </w:rPr>
      </w:pPr>
    </w:p>
    <w:p w:rsidR="007F7A27" w:rsidRPr="007F7A27" w:rsidRDefault="007F7A27" w:rsidP="007F7A27">
      <w:pPr>
        <w:pStyle w:val="ListParagraph"/>
        <w:numPr>
          <w:ilvl w:val="1"/>
          <w:numId w:val="1"/>
        </w:numPr>
        <w:spacing w:line="360" w:lineRule="auto"/>
        <w:contextualSpacing/>
        <w:rPr>
          <w:rFonts w:ascii="Rockwell" w:hAnsi="Rockwell"/>
        </w:rPr>
      </w:pPr>
      <w:r w:rsidRPr="007F7A27">
        <w:rPr>
          <w:rFonts w:ascii="Rockwell" w:hAnsi="Rockwell"/>
        </w:rPr>
        <w:t>Reply to the Discussion on the “</w:t>
      </w:r>
      <w:r w:rsidRPr="007F7A27">
        <w:rPr>
          <w:rFonts w:ascii="Rockwell" w:hAnsi="Rockwell"/>
          <w:b/>
          <w:color w:val="FF00FF"/>
        </w:rPr>
        <w:t>Electricity and Magnetism</w:t>
      </w:r>
      <w:r w:rsidRPr="007F7A27">
        <w:rPr>
          <w:rFonts w:ascii="Rockwell" w:hAnsi="Rockwell"/>
        </w:rPr>
        <w:t>” page.</w:t>
      </w:r>
    </w:p>
    <w:p w:rsidR="00203CAF" w:rsidRDefault="007F7A27"/>
    <w:sectPr w:rsidR="00203CAF" w:rsidSect="00203CA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alatino Linotype">
    <w:altName w:val="Palatino"/>
    <w:charset w:val="00"/>
    <w:family w:val="roman"/>
    <w:pitch w:val="variable"/>
    <w:sig w:usb0="E0000287" w:usb1="40000013" w:usb2="00000000" w:usb3="00000000" w:csb0="0000019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C69A1"/>
    <w:multiLevelType w:val="hybridMultilevel"/>
    <w:tmpl w:val="84EA6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bullet"/>
      <w:lvlText w:val=""/>
      <w:lvlJc w:val="right"/>
      <w:pPr>
        <w:ind w:left="2160" w:hanging="180"/>
      </w:pPr>
      <w:rPr>
        <w:rFonts w:ascii="Symbol" w:hAnsi="Symbol" w:hint="default"/>
        <w:sz w:val="2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F7A27"/>
    <w:rsid w:val="007F7A2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A27"/>
    <w:rPr>
      <w:rFonts w:ascii="Times New Roman" w:eastAsia="Times New Roman" w:hAnsi="Times New Roman" w:cs="Times New Roman"/>
    </w:rPr>
  </w:style>
  <w:style w:type="paragraph" w:styleId="Heading3">
    <w:name w:val="heading 3"/>
    <w:next w:val="Normal"/>
    <w:link w:val="Heading3Char"/>
    <w:qFormat/>
    <w:rsid w:val="007F7A27"/>
    <w:pPr>
      <w:keepNext/>
      <w:jc w:val="center"/>
      <w:outlineLvl w:val="2"/>
    </w:pPr>
    <w:rPr>
      <w:rFonts w:ascii="Tahoma" w:eastAsia="Times New Roman" w:hAnsi="Tahoma" w:cs="Arial"/>
      <w:b/>
      <w:bCs/>
      <w:color w:val="FFFFFF"/>
      <w:spacing w:val="30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F7A27"/>
    <w:pPr>
      <w:ind w:left="720"/>
    </w:pPr>
  </w:style>
  <w:style w:type="paragraph" w:customStyle="1" w:styleId="Masthead">
    <w:name w:val="Masthead"/>
    <w:next w:val="Normal"/>
    <w:rsid w:val="007F7A27"/>
    <w:rPr>
      <w:rFonts w:ascii="Palatino Linotype" w:eastAsia="Times New Roman" w:hAnsi="Palatino Linotype" w:cs="Times New Roman"/>
      <w:color w:val="3399FF"/>
      <w:spacing w:val="20"/>
      <w:sz w:val="72"/>
      <w:szCs w:val="72"/>
    </w:rPr>
  </w:style>
  <w:style w:type="character" w:customStyle="1" w:styleId="Heading3Char">
    <w:name w:val="Heading 3 Char"/>
    <w:basedOn w:val="DefaultParagraphFont"/>
    <w:link w:val="Heading3"/>
    <w:rsid w:val="007F7A27"/>
    <w:rPr>
      <w:rFonts w:ascii="Tahoma" w:eastAsia="Times New Roman" w:hAnsi="Tahoma" w:cs="Arial"/>
      <w:b/>
      <w:bCs/>
      <w:color w:val="FFFFFF"/>
      <w:spacing w:val="30"/>
      <w:sz w:val="32"/>
      <w:szCs w:val="32"/>
    </w:rPr>
  </w:style>
  <w:style w:type="paragraph" w:customStyle="1" w:styleId="NewsletterIssue">
    <w:name w:val="Newsletter Issue"/>
    <w:next w:val="Normal"/>
    <w:rsid w:val="007F7A27"/>
    <w:rPr>
      <w:rFonts w:ascii="Palatino Linotype" w:eastAsia="Times New Roman" w:hAnsi="Palatino Linotype" w:cs="Times New Roman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St. Joseph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Dalrymple</dc:creator>
  <cp:keywords/>
  <cp:lastModifiedBy>Tanya Dalrymple</cp:lastModifiedBy>
  <cp:revision>1</cp:revision>
  <dcterms:created xsi:type="dcterms:W3CDTF">2011-01-19T19:14:00Z</dcterms:created>
  <dcterms:modified xsi:type="dcterms:W3CDTF">2011-01-19T19:20:00Z</dcterms:modified>
</cp:coreProperties>
</file>